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Default="002C79CC" w:rsidP="002C79CC">
      <w:pPr>
        <w:jc w:val="both"/>
        <w:rPr>
          <w:lang w:val="bg-BG" w:eastAsia="bg-BG"/>
        </w:rPr>
      </w:pPr>
    </w:p>
    <w:p w:rsidR="00BA6FE8" w:rsidRPr="002C79CC" w:rsidRDefault="00BA6FE8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973EF">
        <w:rPr>
          <w:b/>
          <w:lang w:eastAsia="bg-BG"/>
        </w:rPr>
        <w:t>1046</w:t>
      </w:r>
      <w:r w:rsidR="00582C1E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21</w:t>
      </w:r>
      <w:r w:rsidR="00B108AA">
        <w:rPr>
          <w:b/>
          <w:lang w:val="bg-BG" w:eastAsia="bg-BG"/>
        </w:rPr>
        <w:t>.</w:t>
      </w:r>
      <w:r w:rsidR="000973EF">
        <w:rPr>
          <w:b/>
          <w:lang w:val="bg-BG" w:eastAsia="bg-BG"/>
        </w:rPr>
        <w:t>12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0C503C" w:rsidRDefault="00B108AA" w:rsidP="002F1280">
      <w:pPr>
        <w:ind w:firstLine="851"/>
        <w:jc w:val="both"/>
        <w:rPr>
          <w:color w:val="000000"/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План за </w:t>
      </w:r>
      <w:proofErr w:type="spellStart"/>
      <w:r w:rsidRPr="00B108AA">
        <w:rPr>
          <w:color w:val="000000"/>
          <w:lang w:val="ru-RU"/>
        </w:rPr>
        <w:t>регулация</w:t>
      </w:r>
      <w:proofErr w:type="spellEnd"/>
      <w:r w:rsidRPr="00B108AA">
        <w:rPr>
          <w:color w:val="000000"/>
          <w:lang w:val="ru-RU"/>
        </w:rPr>
        <w:t xml:space="preserve"> и </w:t>
      </w:r>
      <w:proofErr w:type="spellStart"/>
      <w:r w:rsidRPr="00B108AA">
        <w:rPr>
          <w:color w:val="000000"/>
          <w:lang w:val="ru-RU"/>
        </w:rPr>
        <w:t>застрояване</w:t>
      </w:r>
      <w:proofErr w:type="spellEnd"/>
      <w:r w:rsidRPr="00B108AA">
        <w:rPr>
          <w:color w:val="000000"/>
          <w:lang w:val="ru-RU"/>
        </w:rPr>
        <w:t xml:space="preserve"> (ПРЗ) за:</w:t>
      </w:r>
      <w:r w:rsidRPr="00B108AA">
        <w:rPr>
          <w:color w:val="000000"/>
        </w:rPr>
        <w:t xml:space="preserve"> </w:t>
      </w:r>
      <w:r w:rsidRPr="00B108AA">
        <w:rPr>
          <w:color w:val="000000"/>
          <w:lang w:val="bg-BG"/>
        </w:rPr>
        <w:t xml:space="preserve">изменение на </w:t>
      </w:r>
      <w:r w:rsidR="00D3098A">
        <w:rPr>
          <w:color w:val="000000"/>
          <w:lang w:val="bg-BG"/>
        </w:rPr>
        <w:t xml:space="preserve">конкретното предназначение на </w:t>
      </w:r>
      <w:r w:rsidRPr="00B108AA">
        <w:rPr>
          <w:color w:val="000000"/>
          <w:lang w:val="bg-BG"/>
        </w:rPr>
        <w:t>УПИ І</w:t>
      </w:r>
      <w:r w:rsidR="00D3098A">
        <w:rPr>
          <w:color w:val="000000"/>
          <w:lang w:val="bg-BG"/>
        </w:rPr>
        <w:t>V</w:t>
      </w:r>
      <w:r w:rsidRPr="00B108AA">
        <w:rPr>
          <w:color w:val="000000"/>
          <w:lang w:val="bg-BG"/>
        </w:rPr>
        <w:t xml:space="preserve"> – </w:t>
      </w:r>
      <w:r w:rsidR="00D3098A">
        <w:rPr>
          <w:color w:val="000000"/>
          <w:lang w:val="bg-BG"/>
        </w:rPr>
        <w:t>706</w:t>
      </w:r>
      <w:r>
        <w:rPr>
          <w:color w:val="000000"/>
          <w:lang w:val="bg-BG"/>
        </w:rPr>
        <w:t xml:space="preserve">, </w:t>
      </w:r>
      <w:r w:rsidR="00D3098A">
        <w:rPr>
          <w:color w:val="000000"/>
          <w:lang w:val="bg-BG"/>
        </w:rPr>
        <w:t xml:space="preserve">кв.48а </w:t>
      </w:r>
      <w:r w:rsidRPr="00B108AA">
        <w:rPr>
          <w:color w:val="000000"/>
          <w:lang w:val="bg-BG"/>
        </w:rPr>
        <w:t>по регулационния план на с.</w:t>
      </w:r>
      <w:r w:rsidR="00D3098A">
        <w:rPr>
          <w:color w:val="000000"/>
          <w:lang w:val="bg-BG"/>
        </w:rPr>
        <w:t xml:space="preserve"> Горна Росица</w:t>
      </w:r>
      <w:r w:rsidRPr="00B108AA">
        <w:rPr>
          <w:color w:val="000000"/>
          <w:lang w:val="bg-BG"/>
        </w:rPr>
        <w:t xml:space="preserve">, Община Севлиево </w:t>
      </w:r>
      <w:r w:rsidR="00D3098A">
        <w:rPr>
          <w:color w:val="000000"/>
          <w:lang w:val="bg-BG"/>
        </w:rPr>
        <w:t>с отреждане от</w:t>
      </w:r>
      <w:proofErr w:type="gramStart"/>
      <w:r w:rsidR="00D3098A">
        <w:rPr>
          <w:color w:val="000000"/>
          <w:lang w:val="bg-BG"/>
        </w:rPr>
        <w:t xml:space="preserve"> „З</w:t>
      </w:r>
      <w:proofErr w:type="gramEnd"/>
      <w:r w:rsidR="00D3098A">
        <w:rPr>
          <w:color w:val="000000"/>
          <w:lang w:val="bg-BG"/>
        </w:rPr>
        <w:t>а жилищно строителство“ в „За обществено обслужване“, при условията на УЗ</w:t>
      </w:r>
      <w:r w:rsidR="00D3098A">
        <w:rPr>
          <w:color w:val="000000"/>
        </w:rPr>
        <w:t xml:space="preserve"> (</w:t>
      </w:r>
      <w:r w:rsidR="00D3098A">
        <w:rPr>
          <w:color w:val="000000"/>
          <w:lang w:val="bg-BG"/>
        </w:rPr>
        <w:t>„</w:t>
      </w:r>
      <w:proofErr w:type="spellStart"/>
      <w:r w:rsidR="00D3098A">
        <w:rPr>
          <w:color w:val="000000"/>
          <w:lang w:val="bg-BG"/>
        </w:rPr>
        <w:t>Оо</w:t>
      </w:r>
      <w:proofErr w:type="spellEnd"/>
      <w:r w:rsidR="00D3098A">
        <w:rPr>
          <w:color w:val="000000"/>
          <w:lang w:val="bg-BG"/>
        </w:rPr>
        <w:t>“</w:t>
      </w:r>
      <w:r w:rsidR="00D3098A">
        <w:rPr>
          <w:color w:val="000000"/>
        </w:rPr>
        <w:t>)</w:t>
      </w:r>
      <w:r w:rsidR="00D3098A">
        <w:rPr>
          <w:color w:val="000000"/>
          <w:lang w:val="bg-BG"/>
        </w:rPr>
        <w:t xml:space="preserve"> и </w:t>
      </w:r>
      <w:r w:rsidR="000C503C">
        <w:rPr>
          <w:color w:val="000000"/>
          <w:lang w:val="bg-BG"/>
        </w:rPr>
        <w:t xml:space="preserve">следните </w:t>
      </w:r>
      <w:proofErr w:type="spellStart"/>
      <w:r w:rsidR="00D3098A">
        <w:rPr>
          <w:color w:val="000000"/>
          <w:lang w:val="bg-BG"/>
        </w:rPr>
        <w:t>устройствени</w:t>
      </w:r>
      <w:proofErr w:type="spellEnd"/>
      <w:r w:rsidR="00D3098A">
        <w:rPr>
          <w:color w:val="000000"/>
          <w:lang w:val="bg-BG"/>
        </w:rPr>
        <w:t xml:space="preserve"> показатели</w:t>
      </w:r>
      <w:r w:rsidR="000C503C">
        <w:rPr>
          <w:color w:val="000000"/>
          <w:lang w:val="bg-BG"/>
        </w:rPr>
        <w:t xml:space="preserve">: </w:t>
      </w:r>
    </w:p>
    <w:p w:rsidR="000F0620" w:rsidRDefault="000F0620" w:rsidP="000F0620">
      <w:pPr>
        <w:numPr>
          <w:ilvl w:val="0"/>
          <w:numId w:val="12"/>
        </w:numPr>
        <w:ind w:right="-1"/>
        <w:jc w:val="both"/>
        <w:rPr>
          <w:sz w:val="22"/>
          <w:szCs w:val="22"/>
          <w:lang w:val="bg-BG"/>
        </w:rPr>
      </w:pPr>
      <w:r w:rsidRPr="00063E0B">
        <w:rPr>
          <w:b/>
          <w:sz w:val="22"/>
          <w:szCs w:val="22"/>
          <w:lang w:val="bg-BG"/>
        </w:rPr>
        <w:t>Начин на застрояване</w:t>
      </w:r>
      <w:r>
        <w:rPr>
          <w:sz w:val="22"/>
          <w:szCs w:val="22"/>
          <w:lang w:val="bg-BG"/>
        </w:rPr>
        <w:t xml:space="preserve"> – свободно;</w:t>
      </w:r>
    </w:p>
    <w:p w:rsidR="000F0620" w:rsidRDefault="000F0620" w:rsidP="000F0620">
      <w:pPr>
        <w:numPr>
          <w:ilvl w:val="0"/>
          <w:numId w:val="12"/>
        </w:numPr>
        <w:ind w:right="-1"/>
        <w:jc w:val="both"/>
        <w:rPr>
          <w:sz w:val="22"/>
          <w:szCs w:val="22"/>
          <w:lang w:val="bg-BG"/>
        </w:rPr>
      </w:pPr>
      <w:r w:rsidRPr="00063E0B">
        <w:rPr>
          <w:b/>
          <w:sz w:val="22"/>
          <w:szCs w:val="22"/>
          <w:lang w:val="bg-BG"/>
        </w:rPr>
        <w:t>Характер на застрояване</w:t>
      </w:r>
      <w:r>
        <w:rPr>
          <w:sz w:val="22"/>
          <w:szCs w:val="22"/>
          <w:lang w:val="bg-BG"/>
        </w:rPr>
        <w:t xml:space="preserve"> – ниско, с височина до 10м;</w:t>
      </w:r>
    </w:p>
    <w:p w:rsidR="000F0620" w:rsidRDefault="000F0620" w:rsidP="000F0620">
      <w:pPr>
        <w:numPr>
          <w:ilvl w:val="0"/>
          <w:numId w:val="12"/>
        </w:numPr>
        <w:ind w:right="-1"/>
        <w:jc w:val="both"/>
        <w:rPr>
          <w:sz w:val="22"/>
          <w:szCs w:val="22"/>
          <w:lang w:val="bg-BG"/>
        </w:rPr>
      </w:pPr>
      <w:r w:rsidRPr="00063E0B">
        <w:rPr>
          <w:b/>
          <w:sz w:val="22"/>
          <w:szCs w:val="22"/>
          <w:lang w:val="bg-BG"/>
        </w:rPr>
        <w:t>Максимална плътност на застрояване</w:t>
      </w:r>
      <w:r>
        <w:rPr>
          <w:sz w:val="22"/>
          <w:szCs w:val="22"/>
          <w:lang w:val="bg-BG"/>
        </w:rPr>
        <w:t xml:space="preserve"> – 60%;</w:t>
      </w:r>
    </w:p>
    <w:p w:rsidR="000F0620" w:rsidRDefault="000F0620" w:rsidP="000F0620">
      <w:pPr>
        <w:numPr>
          <w:ilvl w:val="0"/>
          <w:numId w:val="12"/>
        </w:numPr>
        <w:ind w:right="-1"/>
        <w:jc w:val="both"/>
        <w:rPr>
          <w:sz w:val="22"/>
          <w:szCs w:val="22"/>
          <w:lang w:val="bg-BG"/>
        </w:rPr>
      </w:pPr>
      <w:r w:rsidRPr="00063E0B">
        <w:rPr>
          <w:b/>
          <w:sz w:val="22"/>
          <w:szCs w:val="22"/>
          <w:lang w:val="bg-BG"/>
        </w:rPr>
        <w:t>Максимална интензивност на застрояване</w:t>
      </w:r>
      <w:r>
        <w:rPr>
          <w:sz w:val="22"/>
          <w:szCs w:val="22"/>
          <w:lang w:val="bg-BG"/>
        </w:rPr>
        <w:t xml:space="preserve"> – 1,2;</w:t>
      </w:r>
    </w:p>
    <w:p w:rsidR="000C503C" w:rsidRPr="000F0620" w:rsidRDefault="000F0620" w:rsidP="000F0620">
      <w:pPr>
        <w:numPr>
          <w:ilvl w:val="0"/>
          <w:numId w:val="12"/>
        </w:numPr>
        <w:ind w:right="-1"/>
        <w:jc w:val="both"/>
        <w:rPr>
          <w:sz w:val="22"/>
          <w:szCs w:val="22"/>
          <w:lang w:val="bg-BG"/>
        </w:rPr>
      </w:pPr>
      <w:r w:rsidRPr="00063E0B">
        <w:rPr>
          <w:b/>
          <w:sz w:val="22"/>
          <w:szCs w:val="22"/>
          <w:lang w:val="bg-BG"/>
        </w:rPr>
        <w:t>Минимална озеленена площ</w:t>
      </w:r>
      <w:r>
        <w:rPr>
          <w:sz w:val="22"/>
          <w:szCs w:val="22"/>
          <w:lang w:val="bg-BG"/>
        </w:rPr>
        <w:t xml:space="preserve"> – 40%.</w:t>
      </w:r>
    </w:p>
    <w:p w:rsidR="000C503C" w:rsidRDefault="000C503C" w:rsidP="002F1280">
      <w:pPr>
        <w:ind w:firstLine="851"/>
        <w:jc w:val="both"/>
        <w:rPr>
          <w:color w:val="000000"/>
          <w:lang w:val="bg-BG"/>
        </w:rPr>
      </w:pPr>
    </w:p>
    <w:p w:rsidR="00844081" w:rsidRDefault="00691292" w:rsidP="00691292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  <w:bookmarkStart w:id="0" w:name="_GoBack"/>
      <w:bookmarkEnd w:id="0"/>
    </w:p>
    <w:p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:rsidR="002F1280" w:rsidRPr="00D3098A" w:rsidRDefault="002F1280" w:rsidP="002F1280">
      <w:pPr>
        <w:ind w:firstLine="851"/>
        <w:jc w:val="both"/>
        <w:rPr>
          <w:b/>
        </w:rPr>
      </w:pPr>
      <w:r w:rsidRPr="002F1280">
        <w:rPr>
          <w:b/>
          <w:color w:val="000000"/>
          <w:lang w:val="bg-BG"/>
        </w:rPr>
        <w:t xml:space="preserve">Обхват на </w:t>
      </w:r>
      <w:proofErr w:type="spellStart"/>
      <w:r w:rsidRPr="002F1280">
        <w:rPr>
          <w:b/>
          <w:color w:val="000000"/>
          <w:lang w:val="bg-BG"/>
        </w:rPr>
        <w:t>устройствения</w:t>
      </w:r>
      <w:proofErr w:type="spellEnd"/>
      <w:r w:rsidRPr="002F1280">
        <w:rPr>
          <w:b/>
          <w:color w:val="000000"/>
          <w:lang w:val="bg-BG"/>
        </w:rPr>
        <w:t xml:space="preserve"> проект</w:t>
      </w:r>
      <w:r w:rsidRPr="00D3098A">
        <w:rPr>
          <w:b/>
          <w:color w:val="000000"/>
          <w:lang w:val="bg-BG"/>
        </w:rPr>
        <w:t xml:space="preserve">: </w:t>
      </w:r>
      <w:r w:rsidR="00D3098A" w:rsidRPr="00D3098A">
        <w:rPr>
          <w:b/>
          <w:color w:val="000000"/>
          <w:lang w:val="bg-BG"/>
        </w:rPr>
        <w:t>УПИ ІV – 706, кв.48а по регулационния план на с. Горна Росица, Община Севлиево</w:t>
      </w:r>
      <w:r w:rsidRPr="00D3098A">
        <w:rPr>
          <w:b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 29.12</w:t>
      </w:r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33" w:rsidRDefault="00D37033">
      <w:r>
        <w:separator/>
      </w:r>
    </w:p>
  </w:endnote>
  <w:endnote w:type="continuationSeparator" w:id="0">
    <w:p w:rsidR="00D37033" w:rsidRDefault="00D3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33" w:rsidRDefault="00D37033">
      <w:r>
        <w:separator/>
      </w:r>
    </w:p>
  </w:footnote>
  <w:footnote w:type="continuationSeparator" w:id="0">
    <w:p w:rsidR="00D37033" w:rsidRDefault="00D3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91292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098A"/>
    <w:rsid w:val="00D354F2"/>
    <w:rsid w:val="00D37033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122A-E228-4282-9995-9B1BF22A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1281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12</cp:revision>
  <cp:lastPrinted>2020-04-15T06:40:00Z</cp:lastPrinted>
  <dcterms:created xsi:type="dcterms:W3CDTF">2020-04-15T06:41:00Z</dcterms:created>
  <dcterms:modified xsi:type="dcterms:W3CDTF">2020-12-29T06:57:00Z</dcterms:modified>
</cp:coreProperties>
</file>